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156082" w:themeColor="accent1"/>
          <w:kern w:val="2"/>
          <w:sz w:val="24"/>
          <w:szCs w:val="24"/>
          <w14:ligatures w14:val="standardContextual"/>
        </w:rPr>
        <w:id w:val="1366225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078411D9" w14:textId="4AD7ECB6" w:rsidR="006E5D3A" w:rsidRDefault="006E5D3A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4DCF8707" wp14:editId="2D7BF2BB">
                <wp:extent cx="1417320" cy="750898"/>
                <wp:effectExtent l="0" t="0" r="0" b="0"/>
                <wp:docPr id="1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273A883E2BFA4B5088FCA69B779680C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70AD6E99" w14:textId="0E6AE774" w:rsidR="006E5D3A" w:rsidRDefault="00992B66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72"/>
                  <w:szCs w:val="72"/>
                </w:rPr>
                <w:t>A ROADMAP FOR SUCCESSFUL COOPERATIVE LAND USE PLANNING</w:t>
              </w:r>
            </w:p>
          </w:sdtContent>
        </w:sdt>
        <w:sdt>
          <w:sdtPr>
            <w:rPr>
              <w:color w:val="156082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DF81F4D647E34EFA94E1664AEE04BA7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4878C956" w14:textId="170D478B" w:rsidR="006E5D3A" w:rsidRDefault="00324E7F">
              <w:pPr>
                <w:pStyle w:val="NoSpacing"/>
                <w:jc w:val="center"/>
                <w:rPr>
                  <w:color w:val="156082" w:themeColor="accent1"/>
                  <w:sz w:val="28"/>
                  <w:szCs w:val="28"/>
                </w:rPr>
              </w:pPr>
              <w:r>
                <w:rPr>
                  <w:color w:val="156082" w:themeColor="accent1"/>
                  <w:sz w:val="28"/>
                  <w:szCs w:val="28"/>
                </w:rPr>
                <w:t>Our</w:t>
              </w:r>
              <w:r w:rsidR="00E70E85">
                <w:rPr>
                  <w:color w:val="156082" w:themeColor="accent1"/>
                  <w:sz w:val="28"/>
                  <w:szCs w:val="28"/>
                </w:rPr>
                <w:t xml:space="preserve"> Custom, Culture, Heritage, and History 42 USC Section 4331 NEPA</w:t>
              </w:r>
            </w:p>
          </w:sdtContent>
        </w:sdt>
        <w:p w14:paraId="5CD0B57E" w14:textId="77777777" w:rsidR="006E5D3A" w:rsidRDefault="006E5D3A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71BCBF3" wp14:editId="506BDED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2-07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26E8F95" w14:textId="10F961BE" w:rsidR="006E5D3A" w:rsidRDefault="00197B74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February </w:t>
                                    </w:r>
                                    <w:r w:rsidR="00E76CBB"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>, 2026</w:t>
                                    </w:r>
                                  </w:p>
                                </w:sdtContent>
                              </w:sdt>
                              <w:p w14:paraId="26871B93" w14:textId="31C8620A" w:rsidR="006E5D3A" w:rsidRDefault="00E76CBB">
                                <w:pPr>
                                  <w:pStyle w:val="NoSpacing"/>
                                  <w:jc w:val="center"/>
                                  <w:rPr>
                                    <w:color w:val="15608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56082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97B74">
                                      <w:rPr>
                                        <w:caps/>
                                        <w:color w:val="156082" w:themeColor="accent1"/>
                                      </w:rPr>
                                      <w:t>Walter E. Congdon</w:t>
                                    </w:r>
                                  </w:sdtContent>
                                </w:sdt>
                              </w:p>
                              <w:p w14:paraId="2839A514" w14:textId="28D00697" w:rsidR="006E5D3A" w:rsidRDefault="00E76CBB">
                                <w:pPr>
                                  <w:pStyle w:val="NoSpacing"/>
                                  <w:jc w:val="center"/>
                                  <w:rPr>
                                    <w:color w:val="15608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97B74">
                                      <w:rPr>
                                        <w:color w:val="156082" w:themeColor="accent1"/>
                                      </w:rPr>
                                      <w:t>darlene@calamity.com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1BCBF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2-07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26E8F95" w14:textId="10F961BE" w:rsidR="006E5D3A" w:rsidRDefault="00197B74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February </w:t>
                              </w:r>
                              <w:r w:rsidR="00E76CBB"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, 2026</w:t>
                              </w:r>
                            </w:p>
                          </w:sdtContent>
                        </w:sdt>
                        <w:p w14:paraId="26871B93" w14:textId="31C8620A" w:rsidR="006E5D3A" w:rsidRDefault="00E76CBB">
                          <w:pPr>
                            <w:pStyle w:val="NoSpacing"/>
                            <w:jc w:val="center"/>
                            <w:rPr>
                              <w:color w:val="156082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156082" w:themeColor="accent1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97B74">
                                <w:rPr>
                                  <w:caps/>
                                  <w:color w:val="156082" w:themeColor="accent1"/>
                                </w:rPr>
                                <w:t>Walter E. Congdon</w:t>
                              </w:r>
                            </w:sdtContent>
                          </w:sdt>
                        </w:p>
                        <w:p w14:paraId="2839A514" w14:textId="28D00697" w:rsidR="006E5D3A" w:rsidRDefault="00E76CBB">
                          <w:pPr>
                            <w:pStyle w:val="NoSpacing"/>
                            <w:jc w:val="center"/>
                            <w:rPr>
                              <w:color w:val="156082" w:themeColor="accent1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97B74">
                                <w:rPr>
                                  <w:color w:val="156082" w:themeColor="accent1"/>
                                </w:rPr>
                                <w:t>darlene@calamity.com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5551262A" wp14:editId="2531F259">
                <wp:extent cx="758952" cy="478932"/>
                <wp:effectExtent l="0" t="0" r="3175" b="0"/>
                <wp:docPr id="144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0F300E3" w14:textId="421B5032" w:rsidR="006E5D3A" w:rsidRDefault="006E5D3A">
          <w:r>
            <w:br w:type="page"/>
          </w:r>
        </w:p>
      </w:sdtContent>
    </w:sdt>
    <w:p w14:paraId="709B65F0" w14:textId="4B3E5295" w:rsidR="00994392" w:rsidRDefault="00753D27">
      <w:r>
        <w:lastRenderedPageBreak/>
        <w:t xml:space="preserve">Our </w:t>
      </w:r>
      <w:r w:rsidR="00994392">
        <w:t>Custom, Culture, Heritage, and History</w:t>
      </w:r>
      <w:r>
        <w:t xml:space="preserve"> 42 USC Section 4331 NEPA </w:t>
      </w:r>
      <w:r>
        <w:tab/>
      </w:r>
      <w:r>
        <w:tab/>
        <w:t>P1</w:t>
      </w:r>
    </w:p>
    <w:p w14:paraId="7C305195" w14:textId="05845DE7" w:rsidR="00753D27" w:rsidRDefault="00753D27" w:rsidP="00753D27">
      <w:pPr>
        <w:spacing w:after="0" w:line="240" w:lineRule="auto"/>
      </w:pPr>
      <w:r>
        <w:t xml:space="preserve">Why local matters! </w:t>
      </w:r>
      <w:r w:rsidR="005F076D">
        <w:tab/>
      </w:r>
      <w:r>
        <w:t>16USC Section 2003 (6)</w:t>
      </w:r>
    </w:p>
    <w:p w14:paraId="596DD8FF" w14:textId="7DC877B6" w:rsidR="00753D27" w:rsidRDefault="00753D27">
      <w:r>
        <w:tab/>
      </w:r>
      <w:r>
        <w:tab/>
      </w:r>
      <w:r>
        <w:tab/>
        <w:t>Soil and Water Resources Conservation Act</w:t>
      </w:r>
      <w:r>
        <w:tab/>
      </w:r>
      <w:r>
        <w:tab/>
      </w:r>
      <w:r>
        <w:tab/>
        <w:t>P2</w:t>
      </w:r>
    </w:p>
    <w:p w14:paraId="7B0C1ED0" w14:textId="2A6F4C18" w:rsidR="00753D27" w:rsidRDefault="00753D27">
      <w:r>
        <w:t>It is national policy to work with local governments to accomplish protection and improvement of our basic resources. This is the basis from the 1930’s-CCC-WPA</w:t>
      </w:r>
    </w:p>
    <w:p w14:paraId="07E8E417" w14:textId="77777777" w:rsidR="00753D27" w:rsidRDefault="00753D27"/>
    <w:p w14:paraId="62A9F36B" w14:textId="6D395C92" w:rsidR="00994392" w:rsidRDefault="00994392" w:rsidP="00F239A3">
      <w:pPr>
        <w:pStyle w:val="ListParagraph"/>
        <w:numPr>
          <w:ilvl w:val="0"/>
          <w:numId w:val="1"/>
        </w:numPr>
        <w:spacing w:line="480" w:lineRule="auto"/>
      </w:pPr>
      <w:r>
        <w:t>Who are we?</w:t>
      </w:r>
      <w:r w:rsidR="00753D27">
        <w:t xml:space="preserve"> See</w:t>
      </w:r>
      <w:r>
        <w:t xml:space="preserve"> MCA 76-1-601</w:t>
      </w:r>
      <w:r w:rsidR="00753D27">
        <w:t xml:space="preserve"> and 76-1601{3}b ix</w:t>
      </w:r>
    </w:p>
    <w:p w14:paraId="7C1B2E4D" w14:textId="71EFE4EC" w:rsidR="00994392" w:rsidRDefault="00994392" w:rsidP="00F239A3">
      <w:pPr>
        <w:pStyle w:val="ListParagraph"/>
        <w:spacing w:line="480" w:lineRule="auto"/>
      </w:pPr>
      <w:r>
        <w:t>What do we do? A blank check!</w:t>
      </w:r>
      <w:r w:rsidR="00753D27">
        <w:t xml:space="preserve"> MCA 76-1-601{3} vii and MCA 76-1-601(5)</w:t>
      </w:r>
    </w:p>
    <w:p w14:paraId="026EF31A" w14:textId="0A6976C6" w:rsidR="00994392" w:rsidRDefault="00994392" w:rsidP="00F239A3">
      <w:pPr>
        <w:pStyle w:val="ListParagraph"/>
        <w:spacing w:line="480" w:lineRule="auto"/>
      </w:pPr>
      <w:r>
        <w:t>What do we use?</w:t>
      </w:r>
      <w:r w:rsidR="00753D27">
        <w:t xml:space="preserve"> See </w:t>
      </w:r>
      <w:r>
        <w:t>MCA 76-1-1-601 {3-c</w:t>
      </w:r>
      <w:r w:rsidR="005F076D">
        <w:t>} v</w:t>
      </w:r>
      <w:r>
        <w:t>i</w:t>
      </w:r>
    </w:p>
    <w:p w14:paraId="38B354D9" w14:textId="77777777" w:rsidR="005F076D" w:rsidRDefault="00994392" w:rsidP="00F239A3">
      <w:pPr>
        <w:pStyle w:val="ListParagraph"/>
        <w:spacing w:line="480" w:lineRule="auto"/>
      </w:pPr>
      <w:r>
        <w:t>What do we want to preserve, protect, prevent, propose or promote?</w:t>
      </w:r>
      <w:r w:rsidR="005F076D">
        <w:t xml:space="preserve"> </w:t>
      </w:r>
    </w:p>
    <w:p w14:paraId="573CA20E" w14:textId="4A24EC27" w:rsidR="00994392" w:rsidRDefault="005F076D" w:rsidP="00F239A3">
      <w:pPr>
        <w:pStyle w:val="ListParagraph"/>
        <w:spacing w:line="480" w:lineRule="auto"/>
      </w:pPr>
      <w:r>
        <w:t>See MCA 76-1-605 {2} x</w:t>
      </w:r>
      <w:r w:rsidR="0099439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4392">
        <w:t>P</w:t>
      </w:r>
      <w:r>
        <w:t>3</w:t>
      </w:r>
    </w:p>
    <w:p w14:paraId="508E4DF8" w14:textId="67050E76" w:rsidR="00994392" w:rsidRDefault="00994392" w:rsidP="00F239A3">
      <w:pPr>
        <w:pStyle w:val="ListParagraph"/>
        <w:numPr>
          <w:ilvl w:val="0"/>
          <w:numId w:val="1"/>
        </w:numPr>
        <w:spacing w:line="480" w:lineRule="auto"/>
      </w:pPr>
      <w:r>
        <w:t>Our growth policy statute-land use p</w:t>
      </w:r>
      <w:r w:rsidR="005F076D">
        <w:t>l</w:t>
      </w:r>
      <w:r>
        <w:t xml:space="preserve">an-provides guidance </w:t>
      </w:r>
      <w:r w:rsidR="005F076D">
        <w:t>for</w:t>
      </w:r>
      <w:r>
        <w:t xml:space="preserve"> a right to farm ordinance, a fire protection plan, a water quality plan, a weed plan, a housing plan or a recreation plan, </w:t>
      </w:r>
      <w:r w:rsidR="005F076D">
        <w:t xml:space="preserve">zoning, subdivision reviews or other plans or other regulation plans. It is not </w:t>
      </w:r>
      <w:proofErr w:type="gramStart"/>
      <w:r w:rsidR="005F076D">
        <w:t>regulatory in itself</w:t>
      </w:r>
      <w:proofErr w:type="gramEnd"/>
      <w:r w:rsidR="005F076D">
        <w:t xml:space="preserve">. See </w:t>
      </w:r>
      <w:r>
        <w:t>MCA 76-1-60</w:t>
      </w:r>
      <w:r w:rsidR="005F076D">
        <w:t>5(2) (a)</w:t>
      </w:r>
      <w:r w:rsidR="005F076D">
        <w:tab/>
      </w:r>
      <w:r w:rsidR="005F076D">
        <w:tab/>
      </w:r>
      <w:r w:rsidR="005F076D">
        <w:tab/>
        <w:t>P4</w:t>
      </w:r>
    </w:p>
    <w:p w14:paraId="679B6968" w14:textId="1B6DAA90" w:rsidR="00994392" w:rsidRDefault="00994392" w:rsidP="005F076D">
      <w:pPr>
        <w:pStyle w:val="ListParagraph"/>
        <w:numPr>
          <w:ilvl w:val="0"/>
          <w:numId w:val="1"/>
        </w:numPr>
        <w:spacing w:line="480" w:lineRule="auto"/>
      </w:pPr>
      <w:r>
        <w:t>NEPA</w:t>
      </w:r>
      <w:r w:rsidR="005F076D">
        <w:t xml:space="preserve"> and SWCA are the documents that created the concept. </w:t>
      </w:r>
      <w:r>
        <w:t xml:space="preserve">NFMA, FLPMA, and others contain references to the concept of government unit to government unit discussions. </w:t>
      </w:r>
      <w:r w:rsidR="005F076D">
        <w:t xml:space="preserve">Also see MCA 76-1-601 {3} g I, and MCA 76-1-601 {5} and                      MCA 76-1-601 {4} </w:t>
      </w:r>
      <w:r w:rsidR="005F076D">
        <w:tab/>
      </w:r>
      <w:r w:rsidR="005F076D">
        <w:tab/>
      </w:r>
      <w:r w:rsidR="005F076D">
        <w:tab/>
      </w:r>
      <w:r w:rsidR="005F076D">
        <w:tab/>
      </w:r>
      <w:r w:rsidR="005F076D">
        <w:tab/>
      </w:r>
      <w:r w:rsidR="005F076D">
        <w:tab/>
      </w:r>
      <w:r w:rsidR="005F076D">
        <w:tab/>
      </w:r>
      <w:r w:rsidR="005F076D">
        <w:tab/>
      </w:r>
      <w:r w:rsidR="005F076D">
        <w:tab/>
        <w:t>P5</w:t>
      </w:r>
      <w:r>
        <w:t xml:space="preserve"> </w:t>
      </w:r>
    </w:p>
    <w:p w14:paraId="0DC34E1C" w14:textId="7A4667CF" w:rsidR="00994392" w:rsidRDefault="00994392" w:rsidP="00F239A3">
      <w:pPr>
        <w:pStyle w:val="ListParagraph"/>
        <w:numPr>
          <w:ilvl w:val="0"/>
          <w:numId w:val="1"/>
        </w:numPr>
        <w:spacing w:line="480" w:lineRule="auto"/>
      </w:pPr>
      <w:r>
        <w:t>This</w:t>
      </w:r>
      <w:r w:rsidR="005F076D">
        <w:t xml:space="preserve"> opportunity</w:t>
      </w:r>
      <w:r>
        <w:t xml:space="preserve"> is limited to </w:t>
      </w:r>
      <w:r w:rsidR="00BD4E3F">
        <w:t>government-to-government</w:t>
      </w:r>
      <w:r>
        <w:t xml:space="preserve"> discussions because government plans and policies are documents created and reviewed during and after a public process. </w:t>
      </w:r>
      <w:r w:rsidR="005F076D">
        <w:t xml:space="preserve">See </w:t>
      </w:r>
      <w:r>
        <w:t>MCA 76-1-602, 603</w:t>
      </w:r>
      <w:r w:rsidR="00CE6FF6">
        <w:t xml:space="preserve"> and</w:t>
      </w:r>
      <w:r>
        <w:t xml:space="preserve"> 604.</w:t>
      </w:r>
      <w:r w:rsidR="00CE6FF6">
        <w:t xml:space="preserve"> NGO’s and private entities </w:t>
      </w:r>
      <w:r w:rsidR="00CE6FF6">
        <w:lastRenderedPageBreak/>
        <w:t xml:space="preserve">cannot cooperate as their plans are not public creations that have public input and public review. </w:t>
      </w:r>
      <w:r w:rsidR="00CE6FF6">
        <w:tab/>
      </w:r>
      <w:r w:rsidR="00CE6FF6">
        <w:tab/>
      </w:r>
      <w:r w:rsidR="00CE6FF6">
        <w:tab/>
      </w:r>
      <w:r w:rsidR="00CE6FF6">
        <w:tab/>
      </w:r>
      <w:r w:rsidR="00CE6FF6">
        <w:tab/>
      </w:r>
      <w:r w:rsidR="00CE6FF6">
        <w:tab/>
      </w:r>
      <w:r w:rsidR="00CE6FF6">
        <w:tab/>
      </w:r>
      <w:r w:rsidR="00CE6FF6">
        <w:tab/>
      </w:r>
      <w:r w:rsidR="00CE6FF6">
        <w:tab/>
        <w:t>P6</w:t>
      </w:r>
    </w:p>
    <w:p w14:paraId="6595BAD7" w14:textId="41C96F68" w:rsidR="00994392" w:rsidRDefault="00994392" w:rsidP="00F239A3">
      <w:pPr>
        <w:pStyle w:val="ListParagraph"/>
        <w:numPr>
          <w:ilvl w:val="0"/>
          <w:numId w:val="1"/>
        </w:numPr>
        <w:spacing w:line="480" w:lineRule="auto"/>
      </w:pPr>
      <w:r>
        <w:t>Make a statement about what we want or need</w:t>
      </w:r>
      <w:r w:rsidR="00CE6FF6">
        <w:t xml:space="preserve"> and this includes recreation, public land use, and issues like APR and grazing allotments or permits.</w:t>
      </w:r>
      <w:r>
        <w:t xml:space="preserve"> </w:t>
      </w:r>
      <w:r w:rsidR="00CE6FF6">
        <w:t>A</w:t>
      </w:r>
      <w:r>
        <w:t xml:space="preserve"> right to farm ordinance</w:t>
      </w:r>
      <w:r w:rsidR="00CE6FF6">
        <w:t xml:space="preserve"> is an example</w:t>
      </w:r>
      <w:r>
        <w:t>.</w:t>
      </w:r>
      <w:r w:rsidR="00CE6FF6">
        <w:tab/>
      </w:r>
      <w:r w:rsidR="00CE6FF6">
        <w:tab/>
      </w:r>
      <w:r w:rsidR="00CE6FF6">
        <w:tab/>
      </w:r>
      <w:r w:rsidR="00CE6FF6">
        <w:tab/>
      </w:r>
      <w:r w:rsidR="00CE6FF6">
        <w:tab/>
      </w:r>
      <w:r w:rsidR="00CE6FF6">
        <w:tab/>
      </w:r>
      <w:r w:rsidR="00CE6FF6">
        <w:tab/>
      </w:r>
      <w:r w:rsidR="00CE6FF6">
        <w:tab/>
        <w:t>P7</w:t>
      </w:r>
    </w:p>
    <w:p w14:paraId="300A81B3" w14:textId="4ED580BC" w:rsidR="00994392" w:rsidRDefault="00994392" w:rsidP="00F239A3">
      <w:pPr>
        <w:pStyle w:val="ListParagraph"/>
        <w:numPr>
          <w:ilvl w:val="0"/>
          <w:numId w:val="1"/>
        </w:numPr>
        <w:spacing w:line="480" w:lineRule="auto"/>
      </w:pPr>
      <w:r>
        <w:t>The question becomes how we work with other jurisdictions</w:t>
      </w:r>
      <w:r w:rsidR="00B1180C">
        <w:t xml:space="preserve"> and progress with them.</w:t>
      </w:r>
      <w:r>
        <w:t xml:space="preserve"> See MCA 76-1-601 </w:t>
      </w:r>
      <w:r w:rsidR="00B1180C">
        <w:t>(</w:t>
      </w:r>
      <w:r>
        <w:t>3</w:t>
      </w:r>
      <w:r w:rsidR="00B1180C">
        <w:t xml:space="preserve">) </w:t>
      </w:r>
      <w:r>
        <w:t>g</w:t>
      </w:r>
      <w:r w:rsidR="00B1180C">
        <w:t xml:space="preserve">, attached Federal Workshop Guidelines, and MCA 76-1-110, 76-1-111 and 76-1-605. </w:t>
      </w:r>
      <w:r w:rsidR="00B1180C">
        <w:tab/>
      </w:r>
      <w:r w:rsidR="00B1180C">
        <w:tab/>
      </w:r>
      <w:r w:rsidR="00B1180C">
        <w:tab/>
      </w:r>
      <w:r w:rsidR="00B1180C">
        <w:tab/>
      </w:r>
      <w:r w:rsidR="00B1180C">
        <w:tab/>
      </w:r>
      <w:r w:rsidR="00B1180C">
        <w:tab/>
      </w:r>
      <w:r w:rsidR="00B1180C">
        <w:tab/>
      </w:r>
      <w:r>
        <w:t>P</w:t>
      </w:r>
      <w:r w:rsidR="00B1180C">
        <w:t>8</w:t>
      </w:r>
    </w:p>
    <w:p w14:paraId="488D1536" w14:textId="0CA5E208" w:rsidR="00994392" w:rsidRDefault="00994392" w:rsidP="00F239A3">
      <w:pPr>
        <w:pStyle w:val="ListParagraph"/>
        <w:numPr>
          <w:ilvl w:val="0"/>
          <w:numId w:val="1"/>
        </w:numPr>
        <w:spacing w:line="480" w:lineRule="auto"/>
      </w:pPr>
      <w:r>
        <w:t xml:space="preserve">A bigger issue </w:t>
      </w:r>
      <w:r w:rsidR="004F506D">
        <w:t>is</w:t>
      </w:r>
      <w:r>
        <w:t xml:space="preserve"> how</w:t>
      </w:r>
      <w:r w:rsidR="004F506D">
        <w:t xml:space="preserve"> agencies process</w:t>
      </w:r>
      <w:r w:rsidR="009020D3">
        <w:t xml:space="preserve"> planning</w:t>
      </w:r>
      <w:r w:rsidR="004F506D">
        <w:t xml:space="preserve"> matters. We incorporated Due Process: The Elements of Fair Play in our plans as a guidepost for us and other government units.</w:t>
      </w:r>
      <w:r>
        <w:t xml:space="preserve"> </w:t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94778F">
        <w:t>P</w:t>
      </w:r>
      <w:r w:rsidR="009020D3">
        <w:t>9</w:t>
      </w:r>
    </w:p>
    <w:p w14:paraId="20AFF59D" w14:textId="111CEF10" w:rsidR="0094778F" w:rsidRDefault="0094778F" w:rsidP="00F239A3">
      <w:pPr>
        <w:pStyle w:val="ListParagraph"/>
        <w:numPr>
          <w:ilvl w:val="0"/>
          <w:numId w:val="1"/>
        </w:numPr>
        <w:spacing w:line="480" w:lineRule="auto"/>
      </w:pPr>
      <w:r>
        <w:t xml:space="preserve">MEPA does not have the same provisions as NEPA. </w:t>
      </w:r>
      <w:r w:rsidR="009020D3">
        <w:t>It was left out. The Federal government issued directives. See 2002 Directive.</w:t>
      </w:r>
      <w:r w:rsidR="009020D3">
        <w:tab/>
      </w:r>
      <w:r w:rsidR="009020D3">
        <w:tab/>
      </w:r>
      <w:r w:rsidR="009020D3">
        <w:tab/>
      </w:r>
      <w:r w:rsidR="009020D3">
        <w:tab/>
        <w:t>P10</w:t>
      </w:r>
    </w:p>
    <w:p w14:paraId="7D5D1919" w14:textId="17BC1E7A" w:rsidR="0094778F" w:rsidRDefault="0094778F" w:rsidP="00F239A3">
      <w:pPr>
        <w:pStyle w:val="ListParagraph"/>
        <w:numPr>
          <w:ilvl w:val="0"/>
          <w:numId w:val="1"/>
        </w:numPr>
        <w:spacing w:line="480" w:lineRule="auto"/>
      </w:pPr>
      <w:r>
        <w:t>Coordinate, Collaborate, or Cooperate. They sound the same and feel warm and fuzzy. The legal obligations associated with each are very different.</w:t>
      </w:r>
      <w:r w:rsidR="009020D3">
        <w:t xml:space="preserve"> USFS and BLM have similar but not identical standards. This applies to other agencies as well. P11</w:t>
      </w:r>
    </w:p>
    <w:p w14:paraId="22D22193" w14:textId="0A7CDA0A" w:rsidR="0094778F" w:rsidRDefault="0094778F" w:rsidP="00F239A3">
      <w:pPr>
        <w:pStyle w:val="ListParagraph"/>
        <w:numPr>
          <w:ilvl w:val="0"/>
          <w:numId w:val="1"/>
        </w:numPr>
        <w:spacing w:line="480" w:lineRule="auto"/>
      </w:pPr>
      <w:r>
        <w:t xml:space="preserve">The government units include counties, cities, states, tribes, federal agencies, and government districts, such as fire districts, conservation districts, grazing districts, or water quality districts. </w:t>
      </w:r>
      <w:r w:rsidR="009020D3">
        <w:t xml:space="preserve">See MCA </w:t>
      </w:r>
      <w:r>
        <w:t>7-13-4501</w:t>
      </w:r>
      <w:r w:rsidR="00F239A3">
        <w:t xml:space="preserve"> </w:t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F239A3">
        <w:t>P1</w:t>
      </w:r>
      <w:r w:rsidR="009020D3">
        <w:t>2</w:t>
      </w:r>
    </w:p>
    <w:p w14:paraId="2BA7D319" w14:textId="3D4C4084" w:rsidR="0094778F" w:rsidRDefault="0094778F" w:rsidP="00F239A3">
      <w:pPr>
        <w:pStyle w:val="ListParagraph"/>
        <w:numPr>
          <w:ilvl w:val="0"/>
          <w:numId w:val="1"/>
        </w:numPr>
        <w:spacing w:line="480" w:lineRule="auto"/>
      </w:pPr>
      <w:r>
        <w:t>Some basics-define who plays. A memo accomplishes this</w:t>
      </w:r>
      <w:r w:rsidR="009020D3">
        <w:t>.</w:t>
      </w:r>
      <w:r>
        <w:t xml:space="preserve"> </w:t>
      </w:r>
      <w:r w:rsidR="009020D3">
        <w:tab/>
      </w:r>
      <w:r w:rsidR="009020D3">
        <w:tab/>
      </w:r>
      <w:r w:rsidR="009020D3">
        <w:tab/>
      </w:r>
      <w:r>
        <w:t>P1</w:t>
      </w:r>
      <w:r w:rsidR="009020D3">
        <w:t>3</w:t>
      </w:r>
    </w:p>
    <w:p w14:paraId="661776BC" w14:textId="37F90953" w:rsidR="0094778F" w:rsidRDefault="0094778F" w:rsidP="00F239A3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>Tell them you have a plan. This commences consistency review. Their plan needs to address issues</w:t>
      </w:r>
      <w:r w:rsidR="009020D3">
        <w:t xml:space="preserve"> and inconsistencies</w:t>
      </w:r>
      <w:r>
        <w:t xml:space="preserve"> with our plan. </w:t>
      </w:r>
      <w:r w:rsidR="009020D3">
        <w:t xml:space="preserve">Keep updated in the process and on the issues. </w:t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9020D3">
        <w:tab/>
      </w:r>
      <w:r>
        <w:t>P1</w:t>
      </w:r>
      <w:r w:rsidR="009020D3">
        <w:t>4</w:t>
      </w:r>
    </w:p>
    <w:p w14:paraId="19227A21" w14:textId="2C35AB97" w:rsidR="0094778F" w:rsidRDefault="0094778F" w:rsidP="00F239A3">
      <w:pPr>
        <w:pStyle w:val="ListParagraph"/>
        <w:numPr>
          <w:ilvl w:val="0"/>
          <w:numId w:val="1"/>
        </w:numPr>
        <w:spacing w:line="480" w:lineRule="auto"/>
      </w:pPr>
      <w:r>
        <w:t xml:space="preserve">Our expertise and experience </w:t>
      </w:r>
      <w:r w:rsidR="00BD4E3F">
        <w:t>provide</w:t>
      </w:r>
      <w:r>
        <w:t xml:space="preserve"> us the mechanism to be incorporated in the process. </w:t>
      </w:r>
      <w:r w:rsidR="009020D3">
        <w:t>Multiple state and local agencies may all participate at one time.</w:t>
      </w:r>
      <w:r w:rsidR="009020D3">
        <w:tab/>
      </w:r>
      <w:r>
        <w:t>P1</w:t>
      </w:r>
      <w:r w:rsidR="009020D3">
        <w:t>5</w:t>
      </w:r>
    </w:p>
    <w:p w14:paraId="37B4E0AC" w14:textId="22048FF5" w:rsidR="0094778F" w:rsidRDefault="0094778F" w:rsidP="00F239A3">
      <w:pPr>
        <w:pStyle w:val="ListParagraph"/>
        <w:numPr>
          <w:ilvl w:val="0"/>
          <w:numId w:val="1"/>
        </w:numPr>
        <w:spacing w:line="480" w:lineRule="auto"/>
      </w:pPr>
      <w:r>
        <w:t>Some examples</w:t>
      </w:r>
      <w:r w:rsidR="009020D3">
        <w:t>:</w:t>
      </w:r>
    </w:p>
    <w:p w14:paraId="130060A3" w14:textId="7533E433" w:rsidR="0094778F" w:rsidRDefault="0094778F" w:rsidP="00F239A3">
      <w:pPr>
        <w:pStyle w:val="ListParagraph"/>
        <w:numPr>
          <w:ilvl w:val="1"/>
          <w:numId w:val="1"/>
        </w:numPr>
        <w:spacing w:line="480" w:lineRule="auto"/>
      </w:pPr>
      <w:r>
        <w:t xml:space="preserve">Columbia Basin Plan-4 tribes, 5 states, 6 US agencies, one county. Memo attached. </w:t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9020D3">
        <w:tab/>
      </w:r>
      <w:r w:rsidR="00D665CA">
        <w:tab/>
      </w:r>
      <w:r w:rsidR="009020D3">
        <w:t>P16</w:t>
      </w:r>
    </w:p>
    <w:p w14:paraId="0749694F" w14:textId="1E392A52" w:rsidR="0094778F" w:rsidRDefault="0094778F" w:rsidP="00F239A3">
      <w:pPr>
        <w:pStyle w:val="ListParagraph"/>
        <w:numPr>
          <w:ilvl w:val="1"/>
          <w:numId w:val="1"/>
        </w:numPr>
        <w:spacing w:line="480" w:lineRule="auto"/>
      </w:pPr>
      <w:r>
        <w:t xml:space="preserve">Carter County-BLM Plan to sequester Carbon. Questions about roads, grazing, weeds, </w:t>
      </w:r>
      <w:r w:rsidR="00BD4E3F">
        <w:t>monitoring</w:t>
      </w:r>
      <w:r>
        <w:t xml:space="preserve"> and other impact exists. Cooperator status is on appeal. The next chapter will be soon. </w:t>
      </w:r>
      <w:r w:rsidR="00D665CA">
        <w:tab/>
      </w:r>
      <w:r w:rsidR="00D665CA">
        <w:tab/>
      </w:r>
      <w:r w:rsidR="00D665CA">
        <w:tab/>
      </w:r>
      <w:r w:rsidR="00D665CA">
        <w:tab/>
      </w:r>
      <w:r w:rsidR="00D665CA">
        <w:tab/>
        <w:t>P17</w:t>
      </w:r>
    </w:p>
    <w:p w14:paraId="36A78BE5" w14:textId="43B1E1B7" w:rsidR="0094778F" w:rsidRDefault="0094778F" w:rsidP="00F239A3">
      <w:pPr>
        <w:pStyle w:val="ListParagraph"/>
        <w:numPr>
          <w:ilvl w:val="1"/>
          <w:numId w:val="1"/>
        </w:numPr>
        <w:spacing w:line="480" w:lineRule="auto"/>
      </w:pPr>
      <w:r>
        <w:t>The process is administratively appealable and that has occurred. Example with BLM sage hen plan appealed by 27 Montana counties and overturned for a redo based on the administrative process.</w:t>
      </w:r>
      <w:r w:rsidR="00D665CA">
        <w:tab/>
      </w:r>
      <w:r w:rsidR="00D665CA">
        <w:tab/>
      </w:r>
      <w:r w:rsidR="00D665CA">
        <w:tab/>
      </w:r>
      <w:r w:rsidR="00D665CA">
        <w:tab/>
        <w:t>P17</w:t>
      </w:r>
    </w:p>
    <w:p w14:paraId="7874379C" w14:textId="77777777" w:rsidR="005672F8" w:rsidRDefault="0094778F" w:rsidP="00F239A3">
      <w:pPr>
        <w:pStyle w:val="ListParagraph"/>
        <w:numPr>
          <w:ilvl w:val="0"/>
          <w:numId w:val="1"/>
        </w:numPr>
        <w:spacing w:line="480" w:lineRule="auto"/>
      </w:pPr>
      <w:r>
        <w:t>Some questions were</w:t>
      </w:r>
      <w:r w:rsidR="005672F8">
        <w:t xml:space="preserve">, </w:t>
      </w:r>
    </w:p>
    <w:p w14:paraId="4E0060F7" w14:textId="459DFB66" w:rsidR="0094778F" w:rsidRDefault="005672F8" w:rsidP="005672F8">
      <w:pPr>
        <w:pStyle w:val="ListParagraph"/>
        <w:numPr>
          <w:ilvl w:val="1"/>
          <w:numId w:val="1"/>
        </w:numPr>
        <w:spacing w:line="480" w:lineRule="auto"/>
      </w:pPr>
      <w:r>
        <w:t>I</w:t>
      </w:r>
      <w:r w:rsidR="0094778F">
        <w:t xml:space="preserve">s a growth policy a land use plan? Montana defines itself. </w:t>
      </w:r>
      <w:r>
        <w:tab/>
      </w:r>
      <w:r>
        <w:tab/>
        <w:t>P18</w:t>
      </w:r>
    </w:p>
    <w:p w14:paraId="616BB57D" w14:textId="31ACF149" w:rsidR="0094778F" w:rsidRDefault="0094778F" w:rsidP="00F239A3">
      <w:pPr>
        <w:pStyle w:val="ListParagraph"/>
        <w:numPr>
          <w:ilvl w:val="1"/>
          <w:numId w:val="1"/>
        </w:numPr>
        <w:spacing w:line="480" w:lineRule="auto"/>
      </w:pPr>
      <w:r>
        <w:t>Is a resource use plan a legitimate land use plan</w:t>
      </w:r>
      <w:r w:rsidR="005672F8">
        <w:t>?</w:t>
      </w:r>
      <w:r>
        <w:t xml:space="preserve"> </w:t>
      </w:r>
      <w:r w:rsidR="005672F8">
        <w:tab/>
      </w:r>
      <w:r w:rsidR="005672F8">
        <w:tab/>
      </w:r>
      <w:r w:rsidR="005672F8">
        <w:tab/>
      </w:r>
      <w:r>
        <w:t>P1</w:t>
      </w:r>
      <w:r w:rsidR="005672F8">
        <w:t>8</w:t>
      </w:r>
    </w:p>
    <w:p w14:paraId="06A40DF3" w14:textId="7D798C81" w:rsidR="0094778F" w:rsidRDefault="0094778F" w:rsidP="00F239A3">
      <w:pPr>
        <w:pStyle w:val="ListParagraph"/>
        <w:numPr>
          <w:ilvl w:val="1"/>
          <w:numId w:val="1"/>
        </w:numPr>
        <w:spacing w:line="480" w:lineRule="auto"/>
      </w:pPr>
      <w:r>
        <w:t>Is a resource plan a land use plan or growth policy</w:t>
      </w:r>
      <w:r w:rsidR="005672F8">
        <w:t>? See MCA 76-1-103 (4) and MCA 76-1-607.</w:t>
      </w:r>
      <w:r w:rsidR="005672F8">
        <w:tab/>
      </w:r>
      <w:r w:rsidR="005672F8">
        <w:tab/>
      </w:r>
      <w:r w:rsidR="005672F8">
        <w:tab/>
      </w:r>
      <w:r w:rsidR="005672F8">
        <w:tab/>
      </w:r>
      <w:r w:rsidR="005672F8">
        <w:tab/>
      </w:r>
      <w:r w:rsidR="005672F8">
        <w:tab/>
      </w:r>
      <w:r w:rsidR="005672F8">
        <w:tab/>
      </w:r>
      <w:r w:rsidR="005672F8">
        <w:tab/>
      </w:r>
      <w:r>
        <w:t xml:space="preserve"> P</w:t>
      </w:r>
      <w:r w:rsidR="005672F8">
        <w:t>18</w:t>
      </w:r>
    </w:p>
    <w:p w14:paraId="5A3628A3" w14:textId="7EBA1F22" w:rsidR="0094778F" w:rsidRDefault="0094778F" w:rsidP="005672F8">
      <w:pPr>
        <w:pStyle w:val="ListParagraph"/>
        <w:numPr>
          <w:ilvl w:val="0"/>
          <w:numId w:val="1"/>
        </w:numPr>
        <w:spacing w:line="480" w:lineRule="auto"/>
      </w:pPr>
      <w:r>
        <w:t>FOIA 4</w:t>
      </w:r>
      <w:r w:rsidR="005672F8">
        <w:t>D</w:t>
      </w:r>
      <w:r>
        <w:t xml:space="preserve"> provides scoping meetings</w:t>
      </w:r>
      <w:r w:rsidR="005672F8">
        <w:t>,</w:t>
      </w:r>
      <w:r>
        <w:t xml:space="preserve"> </w:t>
      </w:r>
      <w:r w:rsidR="005672F8">
        <w:t>written information, and team</w:t>
      </w:r>
      <w:r>
        <w:t xml:space="preserve"> discussions </w:t>
      </w:r>
      <w:r w:rsidR="005672F8">
        <w:t>about</w:t>
      </w:r>
      <w:r>
        <w:t xml:space="preserve"> federal plans are closed</w:t>
      </w:r>
      <w:r w:rsidR="005672F8">
        <w:t xml:space="preserve"> meetings</w:t>
      </w:r>
      <w:r>
        <w:t xml:space="preserve"> and cannot be discussed publicly. Scoping </w:t>
      </w:r>
      <w:r>
        <w:lastRenderedPageBreak/>
        <w:t xml:space="preserve">is a critical part of this process. Concurrently Montana Law says we have a right to observe our government. To resolve this </w:t>
      </w:r>
      <w:r w:rsidR="00F239A3">
        <w:t>problem,</w:t>
      </w:r>
      <w:r>
        <w:t xml:space="preserve"> we have chosen a course providing no elected official or county, city, or district can participate in the scoping review, because that allows us to participate without br</w:t>
      </w:r>
      <w:r w:rsidR="005672F8">
        <w:t>e</w:t>
      </w:r>
      <w:r>
        <w:t xml:space="preserve">aking the federal law and without violating the state statute or state constitution. It is sometimes difficult for elected officials to understand this issue. </w:t>
      </w:r>
      <w:r w:rsidR="005672F8">
        <w:t>See P10, page 4 and 5.</w:t>
      </w:r>
    </w:p>
    <w:p w14:paraId="30E170A3" w14:textId="4DF78DB7" w:rsidR="00BD4E3F" w:rsidRDefault="00BD4E3F" w:rsidP="00F239A3">
      <w:pPr>
        <w:pStyle w:val="ListParagraph"/>
        <w:numPr>
          <w:ilvl w:val="0"/>
          <w:numId w:val="1"/>
        </w:numPr>
        <w:spacing w:line="480" w:lineRule="auto"/>
      </w:pPr>
      <w:r>
        <w:t xml:space="preserve">Cooperation in the process gives local government </w:t>
      </w:r>
      <w:r w:rsidR="00E61CDB">
        <w:t xml:space="preserve">and agencies </w:t>
      </w:r>
      <w:r>
        <w:t xml:space="preserve">more credit during subsequent litigation and agencies </w:t>
      </w:r>
      <w:r w:rsidR="00E61CDB">
        <w:t>benefit</w:t>
      </w:r>
      <w:r>
        <w:t xml:space="preserve"> because the process was more public in that the comprehensive land plan or growth policy was a publicly reviewed document wit</w:t>
      </w:r>
      <w:r w:rsidR="00E61CDB">
        <w:t>h</w:t>
      </w:r>
      <w:r>
        <w:t xml:space="preserve"> public </w:t>
      </w:r>
      <w:r w:rsidR="00F239A3">
        <w:t>input,</w:t>
      </w:r>
      <w:r>
        <w:t xml:space="preserve"> and that document helped guide the federal plan that may be ligated after its adoption or after a </w:t>
      </w:r>
      <w:r w:rsidRPr="00BD4E3F">
        <w:t>ROD-record of decision is issued. See Gallatin Conservation V Forest Service- Antelope Basin Decision. Beaverhead and Madison County intervened because they were cooperat</w:t>
      </w:r>
      <w:r w:rsidR="00E61CDB">
        <w:t>or</w:t>
      </w:r>
      <w:r w:rsidRPr="00BD4E3F">
        <w:t xml:space="preserve"> and Judge Ma</w:t>
      </w:r>
      <w:r w:rsidR="00E61CDB">
        <w:t>l</w:t>
      </w:r>
      <w:r w:rsidRPr="00BD4E3F">
        <w:t>loy upheld the Forest Service Decision</w:t>
      </w:r>
      <w:r w:rsidR="00E61CDB">
        <w:t xml:space="preserve"> on a Summary Judgement</w:t>
      </w:r>
      <w:r w:rsidRPr="00BD4E3F">
        <w:t>.</w:t>
      </w:r>
    </w:p>
    <w:p w14:paraId="6D905C8A" w14:textId="445A40A2" w:rsidR="00E47623" w:rsidRDefault="00E61CDB" w:rsidP="00E61CDB">
      <w:pPr>
        <w:pStyle w:val="ListParagraph"/>
        <w:numPr>
          <w:ilvl w:val="0"/>
          <w:numId w:val="1"/>
        </w:numPr>
        <w:spacing w:line="240" w:lineRule="auto"/>
      </w:pPr>
      <w:r>
        <w:t xml:space="preserve">The last page attached indicates the scope of the related issues. </w:t>
      </w:r>
      <w:r w:rsidR="00E47623">
        <w:tab/>
      </w:r>
      <w:r w:rsidR="00E47623">
        <w:tab/>
        <w:t>P19</w:t>
      </w:r>
    </w:p>
    <w:p w14:paraId="05976274" w14:textId="77777777" w:rsidR="00E47623" w:rsidRDefault="00E47623" w:rsidP="00E47623">
      <w:pPr>
        <w:spacing w:line="240" w:lineRule="auto"/>
        <w:ind w:left="360"/>
      </w:pPr>
    </w:p>
    <w:p w14:paraId="227828BC" w14:textId="556E5A9F" w:rsidR="00E61CDB" w:rsidRPr="00BD4E3F" w:rsidRDefault="00E61CDB" w:rsidP="00E47623">
      <w:pPr>
        <w:spacing w:line="240" w:lineRule="auto"/>
        <w:ind w:left="360"/>
      </w:pPr>
      <w:r>
        <w:t xml:space="preserve">In closing, we can play!” </w:t>
      </w:r>
      <w:r>
        <w:rPr>
          <w:noProof/>
        </w:rPr>
        <w:drawing>
          <wp:inline distT="0" distB="0" distL="0" distR="0" wp14:anchorId="42E73637" wp14:editId="302F9212">
            <wp:extent cx="209550" cy="209550"/>
            <wp:effectExtent l="0" t="0" r="0" b="0"/>
            <wp:docPr id="1654650423" name="Graphic 2" descr="Smil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50423" name="Graphic 1654650423" descr="Smiling face outlin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1CDB" w:rsidRPr="00BD4E3F" w:rsidSect="006E5D3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54AA" w14:textId="77777777" w:rsidR="0005090C" w:rsidRDefault="0005090C" w:rsidP="00F239A3">
      <w:pPr>
        <w:spacing w:after="0" w:line="240" w:lineRule="auto"/>
      </w:pPr>
      <w:r>
        <w:separator/>
      </w:r>
    </w:p>
  </w:endnote>
  <w:endnote w:type="continuationSeparator" w:id="0">
    <w:p w14:paraId="6737FF7F" w14:textId="77777777" w:rsidR="0005090C" w:rsidRDefault="0005090C" w:rsidP="00F2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930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1EE3C3" w14:textId="7399EC4B" w:rsidR="00F239A3" w:rsidRDefault="00F239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D9FF1A" w14:textId="77777777" w:rsidR="00F239A3" w:rsidRDefault="00F23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9EC9" w14:textId="77777777" w:rsidR="0005090C" w:rsidRDefault="0005090C" w:rsidP="00F239A3">
      <w:pPr>
        <w:spacing w:after="0" w:line="240" w:lineRule="auto"/>
      </w:pPr>
      <w:r>
        <w:separator/>
      </w:r>
    </w:p>
  </w:footnote>
  <w:footnote w:type="continuationSeparator" w:id="0">
    <w:p w14:paraId="31539A96" w14:textId="77777777" w:rsidR="0005090C" w:rsidRDefault="0005090C" w:rsidP="00F2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338C" w14:textId="1AD565FB" w:rsidR="00F239A3" w:rsidRDefault="00F239A3">
    <w:pPr>
      <w:pStyle w:val="Header"/>
    </w:pPr>
    <w:r>
      <w:t>Cooperative Federal Land Use Planning</w:t>
    </w:r>
  </w:p>
  <w:p w14:paraId="6CE2965C" w14:textId="78F691E1" w:rsidR="00F239A3" w:rsidRDefault="00F239A3">
    <w:pPr>
      <w:pStyle w:val="Header"/>
    </w:pPr>
    <w:r>
      <w:t>Walter E. Congdon</w:t>
    </w:r>
  </w:p>
  <w:p w14:paraId="465FD2A1" w14:textId="0B39AEAD" w:rsidR="00F239A3" w:rsidRDefault="00F239A3">
    <w:pPr>
      <w:pStyle w:val="Header"/>
    </w:pPr>
    <w:r>
      <w:t>406-925-1351</w:t>
    </w:r>
  </w:p>
  <w:p w14:paraId="187A4B72" w14:textId="1AB36750" w:rsidR="00F239A3" w:rsidRDefault="00F239A3">
    <w:pPr>
      <w:pStyle w:val="Header"/>
    </w:pPr>
    <w:hyperlink r:id="rId1" w:history="1">
      <w:r w:rsidRPr="00DB73B3">
        <w:rPr>
          <w:rStyle w:val="Hyperlink"/>
        </w:rPr>
        <w:t>darlene@calamity.com</w:t>
      </w:r>
    </w:hyperlink>
  </w:p>
  <w:p w14:paraId="6B958057" w14:textId="77777777" w:rsidR="00F239A3" w:rsidRDefault="00F23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8284C"/>
    <w:multiLevelType w:val="hybridMultilevel"/>
    <w:tmpl w:val="7584D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45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I3MzY0MbE0szA1MTFX0lEKTi0uzszPAykwqgUA9If+yywAAAA="/>
  </w:docVars>
  <w:rsids>
    <w:rsidRoot w:val="00994392"/>
    <w:rsid w:val="0005090C"/>
    <w:rsid w:val="00197B74"/>
    <w:rsid w:val="00264C45"/>
    <w:rsid w:val="002B052D"/>
    <w:rsid w:val="00324E7F"/>
    <w:rsid w:val="004F506D"/>
    <w:rsid w:val="00522333"/>
    <w:rsid w:val="005672F8"/>
    <w:rsid w:val="005F076D"/>
    <w:rsid w:val="006D6A1A"/>
    <w:rsid w:val="006E5D3A"/>
    <w:rsid w:val="00715B29"/>
    <w:rsid w:val="00753D27"/>
    <w:rsid w:val="009020D3"/>
    <w:rsid w:val="0094778F"/>
    <w:rsid w:val="00992B66"/>
    <w:rsid w:val="00994392"/>
    <w:rsid w:val="00A4358A"/>
    <w:rsid w:val="00AB609A"/>
    <w:rsid w:val="00B1180C"/>
    <w:rsid w:val="00BD4E3F"/>
    <w:rsid w:val="00C603CD"/>
    <w:rsid w:val="00CE6FF6"/>
    <w:rsid w:val="00D665CA"/>
    <w:rsid w:val="00E222AB"/>
    <w:rsid w:val="00E47623"/>
    <w:rsid w:val="00E61CDB"/>
    <w:rsid w:val="00E70E85"/>
    <w:rsid w:val="00E76CBB"/>
    <w:rsid w:val="00F2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D67C5"/>
  <w15:chartTrackingRefBased/>
  <w15:docId w15:val="{E2835E0F-8562-41F3-AED0-15D3413B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3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9A3"/>
  </w:style>
  <w:style w:type="paragraph" w:styleId="Footer">
    <w:name w:val="footer"/>
    <w:basedOn w:val="Normal"/>
    <w:link w:val="FooterChar"/>
    <w:uiPriority w:val="99"/>
    <w:unhideWhenUsed/>
    <w:rsid w:val="00F2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9A3"/>
  </w:style>
  <w:style w:type="character" w:styleId="Hyperlink">
    <w:name w:val="Hyperlink"/>
    <w:basedOn w:val="DefaultParagraphFont"/>
    <w:uiPriority w:val="99"/>
    <w:unhideWhenUsed/>
    <w:rsid w:val="00F239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9A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E5D3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E5D3A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rlene@calamity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3A883E2BFA4B5088FCA69B77968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431C5-DF40-48F3-91F2-BB6F3C2E1993}"/>
      </w:docPartPr>
      <w:docPartBody>
        <w:p w:rsidR="00EA2024" w:rsidRDefault="00CF1F2F" w:rsidP="00CF1F2F">
          <w:pPr>
            <w:pStyle w:val="273A883E2BFA4B5088FCA69B779680C8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DF81F4D647E34EFA94E1664AEE04B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E0534-BCBA-4270-9BA6-9A2F01E6686E}"/>
      </w:docPartPr>
      <w:docPartBody>
        <w:p w:rsidR="00EA2024" w:rsidRDefault="00CF1F2F" w:rsidP="00CF1F2F">
          <w:pPr>
            <w:pStyle w:val="DF81F4D647E34EFA94E1664AEE04BA7D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2F"/>
    <w:rsid w:val="002B052D"/>
    <w:rsid w:val="00522333"/>
    <w:rsid w:val="00CF1F2F"/>
    <w:rsid w:val="00E80702"/>
    <w:rsid w:val="00EA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3A883E2BFA4B5088FCA69B779680C8">
    <w:name w:val="273A883E2BFA4B5088FCA69B779680C8"/>
    <w:rsid w:val="00CF1F2F"/>
  </w:style>
  <w:style w:type="paragraph" w:customStyle="1" w:styleId="DF81F4D647E34EFA94E1664AEE04BA7D">
    <w:name w:val="DF81F4D647E34EFA94E1664AEE04BA7D"/>
    <w:rsid w:val="00CF1F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2026-02-07T00:00:00</PublishDate>
  <Abstract/>
  <CompanyAddress>darlene@calamity.com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Walter E. Congdon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ROADMAP FOR SUCCESSFUL COOPERATIVE LAND USE PLANNING</dc:title>
  <dc:subject>Our Custom, Culture, Heritage, and History 42 USC Section 4331 NEPA</dc:subject>
  <dc:creator>Darlene Hartman-Hallam</dc:creator>
  <cp:keywords/>
  <dc:description/>
  <cp:lastModifiedBy>Darlene Hartman-Hallam</cp:lastModifiedBy>
  <cp:revision>9</cp:revision>
  <cp:lastPrinted>2025-10-23T02:07:00Z</cp:lastPrinted>
  <dcterms:created xsi:type="dcterms:W3CDTF">2025-10-21T02:27:00Z</dcterms:created>
  <dcterms:modified xsi:type="dcterms:W3CDTF">2026-02-05T06:43:00Z</dcterms:modified>
</cp:coreProperties>
</file>